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3CAD" w14:textId="77777777" w:rsidR="00A13BCC" w:rsidRDefault="00000000">
      <w:pPr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b/>
          <w:bCs/>
          <w:sz w:val="24"/>
          <w:szCs w:val="24"/>
          <w:lang w:eastAsia="zh-CN"/>
        </w:rPr>
        <w:t xml:space="preserve">An efficient and robust all-Mach numerical scheme for the simulation of compressible multi-component fluids including surface </w:t>
      </w:r>
      <w:proofErr w:type="gramStart"/>
      <w:r>
        <w:rPr>
          <w:rFonts w:ascii="Times New Roman" w:eastAsia="SimSun" w:hAnsi="Times New Roman" w:cs="Times New Roman" w:hint="eastAsia"/>
          <w:b/>
          <w:bCs/>
          <w:sz w:val="24"/>
          <w:szCs w:val="24"/>
          <w:lang w:eastAsia="zh-CN"/>
        </w:rPr>
        <w:t>tension</w:t>
      </w:r>
      <w:proofErr w:type="gramEnd"/>
    </w:p>
    <w:p w14:paraId="7F378559" w14:textId="77777777" w:rsidR="00A13BCC" w:rsidRDefault="00000000">
      <w:pPr>
        <w:spacing w:before="120" w:after="0" w:line="240" w:lineRule="auto"/>
        <w:jc w:val="center"/>
        <w:rPr>
          <w:rFonts w:ascii="Times New Roman" w:eastAsia="SimSun" w:hAnsi="Times New Roman" w:cs="Times New Roman"/>
          <w:lang w:val="de-DE" w:eastAsia="zh-CN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>
        <w:rPr>
          <w:rFonts w:ascii="Times New Roman" w:eastAsia="SimSun" w:hAnsi="Times New Roman" w:cs="Times New Roman" w:hint="eastAsia"/>
          <w:sz w:val="20"/>
          <w:szCs w:val="20"/>
          <w:lang w:val="de-DE" w:eastAsia="zh-CN"/>
        </w:rPr>
        <w:t>Yu Jiao</w:t>
      </w:r>
      <w:r>
        <w:rPr>
          <w:rFonts w:ascii="Times New Roman" w:hAnsi="Times New Roman" w:cs="Times New Roman"/>
          <w:sz w:val="20"/>
          <w:szCs w:val="20"/>
          <w:lang w:val="de-DE"/>
        </w:rPr>
        <w:t>*;</w:t>
      </w:r>
      <w:r>
        <w:rPr>
          <w:rFonts w:ascii="Times New Roman" w:eastAsia="SimSun" w:hAnsi="Times New Roman" w:cs="Times New Roman" w:hint="eastAsia"/>
          <w:sz w:val="20"/>
          <w:szCs w:val="20"/>
          <w:lang w:val="de-DE"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>
        <w:rPr>
          <w:rFonts w:ascii="Times New Roman" w:eastAsia="SimSun" w:hAnsi="Times New Roman" w:cs="Times New Roman" w:hint="eastAsia"/>
          <w:sz w:val="20"/>
          <w:szCs w:val="20"/>
          <w:lang w:val="de-DE" w:eastAsia="zh-CN"/>
        </w:rPr>
        <w:t>Steffen J. Schmidt</w:t>
      </w:r>
      <w:r>
        <w:rPr>
          <w:rFonts w:ascii="Times New Roman" w:hAnsi="Times New Roman" w:cs="Times New Roman"/>
          <w:sz w:val="20"/>
          <w:szCs w:val="20"/>
          <w:lang w:val="de-DE"/>
        </w:rPr>
        <w:t>;</w:t>
      </w:r>
      <w:r>
        <w:rPr>
          <w:rFonts w:ascii="Times New Roman" w:eastAsia="SimSun" w:hAnsi="Times New Roman" w:cs="Times New Roman" w:hint="eastAsia"/>
          <w:sz w:val="20"/>
          <w:szCs w:val="20"/>
          <w:lang w:val="de-DE"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1</w:t>
      </w:r>
      <w:r>
        <w:rPr>
          <w:rFonts w:ascii="Times New Roman" w:eastAsia="SimSun" w:hAnsi="Times New Roman" w:cs="Times New Roman" w:hint="eastAsia"/>
          <w:sz w:val="20"/>
          <w:szCs w:val="20"/>
          <w:vertAlign w:val="superscript"/>
          <w:lang w:val="de-DE" w:eastAsia="zh-CN"/>
        </w:rPr>
        <w:t>,2</w:t>
      </w:r>
      <w:r>
        <w:rPr>
          <w:rFonts w:ascii="Times New Roman" w:eastAsia="SimSun" w:hAnsi="Times New Roman" w:cs="Times New Roman" w:hint="eastAsia"/>
          <w:sz w:val="20"/>
          <w:szCs w:val="20"/>
          <w:lang w:val="de-DE" w:eastAsia="zh-CN"/>
        </w:rPr>
        <w:t>Nikolaus A. Adams</w:t>
      </w:r>
      <w:r>
        <w:rPr>
          <w:rFonts w:ascii="Times New Roman" w:hAnsi="Times New Roman" w:cs="Times New Roman"/>
          <w:sz w:val="20"/>
          <w:szCs w:val="20"/>
          <w:lang w:val="de-DE"/>
        </w:rPr>
        <w:t>;</w:t>
      </w:r>
    </w:p>
    <w:p w14:paraId="100392A2" w14:textId="77777777" w:rsidR="00A13BCC" w:rsidRDefault="0000000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Chair of Aerodynamics and Fluid Mechanics, School of Engineering and Design, Department Engineering Physics and Computation,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Technische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Universität München,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Boltzmannstr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15,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Garching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bei München 85748, Germany.</w:t>
      </w:r>
    </w:p>
    <w:p w14:paraId="741D0885" w14:textId="77777777" w:rsidR="00A13BCC" w:rsidRDefault="0000000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Munich Institute of Integrated Materials, Energy and Process Engineering, Technical University of Munich,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Lichtenbergstr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4a,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Garching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85748, Germany.</w:t>
      </w:r>
    </w:p>
    <w:p w14:paraId="18DCD4F3" w14:textId="77777777" w:rsidR="00A13BCC" w:rsidRDefault="00000000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*Corresponding author, yu.jiao@tum.de</w:t>
      </w:r>
    </w:p>
    <w:p w14:paraId="6AE220DA" w14:textId="77777777" w:rsidR="00A13BCC" w:rsidRDefault="00000000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>
        <w:rPr>
          <w:b/>
          <w:bCs/>
          <w:sz w:val="20"/>
          <w:szCs w:val="20"/>
        </w:rPr>
        <w:t>Abstract</w:t>
      </w:r>
      <w:r>
        <w:rPr>
          <w:b/>
          <w:bCs/>
          <w:color w:val="C00000"/>
          <w:sz w:val="20"/>
          <w:szCs w:val="20"/>
        </w:rPr>
        <w:t xml:space="preserve"> </w:t>
      </w:r>
    </w:p>
    <w:p w14:paraId="00133C57" w14:textId="77777777" w:rsidR="00A13BCC" w:rsidRDefault="00000000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We present an efficient, fully conservative numerical scheme valid in the entire range of highly to weakly compressible flows using a single-fluid four equation approach together with multi-component thermodynamic models. The approach enables handling of compressibility of all involved phases including surface tension and viscous effects. The methodology is validated against a series of reference cases, such as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>bubble oscillation/advection/deformation.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 xml:space="preserve">An improved </w:t>
      </w:r>
      <w:proofErr w:type="spellStart"/>
      <w:r>
        <w:rPr>
          <w:szCs w:val="18"/>
        </w:rPr>
        <w:t>iLES</w:t>
      </w:r>
      <w:proofErr w:type="spellEnd"/>
      <w:r>
        <w:rPr>
          <w:szCs w:val="18"/>
        </w:rPr>
        <w:t xml:space="preserve"> is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>proposed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>for turbulence modelling.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>It is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>applied to simulate the three-dimensional primary break-up of a turbulent diesel jet in a nitrogen/methane mixture under typical dual-fuel conditions.</w:t>
      </w:r>
      <w:r>
        <w:rPr>
          <w:rFonts w:eastAsia="SimSun" w:hint="eastAsia"/>
          <w:szCs w:val="18"/>
          <w:lang w:eastAsia="zh-CN"/>
        </w:rPr>
        <w:t xml:space="preserve"> </w:t>
      </w:r>
      <w:r>
        <w:rPr>
          <w:szCs w:val="18"/>
        </w:rPr>
        <w:t xml:space="preserve">The interface sharpening approach and the TDU idea are adopted to continually keep the thermodynamic relationship coupled among variables. The </w:t>
      </w:r>
      <w:proofErr w:type="gramStart"/>
      <w:r>
        <w:rPr>
          <w:szCs w:val="18"/>
        </w:rPr>
        <w:t>final results</w:t>
      </w:r>
      <w:proofErr w:type="gramEnd"/>
      <w:r>
        <w:rPr>
          <w:szCs w:val="18"/>
        </w:rPr>
        <w:t xml:space="preserve"> show that the methodology can easily be included into existing finite volume methods and enables robust and accurate simulations of compressible multi-phase/multi-component flows including surface tension and viscous effects on compact computational stencils without excessive spurious oscillations or significant numerical diffusion/dissipation.</w:t>
      </w:r>
    </w:p>
    <w:p w14:paraId="7CFE93DE" w14:textId="77777777" w:rsidR="00A13BCC" w:rsidRDefault="00000000">
      <w:pPr>
        <w:pStyle w:val="NormalWeb"/>
        <w:spacing w:before="200" w:after="80" w:line="254" w:lineRule="auto"/>
        <w:ind w:left="1008" w:right="10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Acknowledgments</w:t>
      </w:r>
    </w:p>
    <w:p w14:paraId="4D7BA9AE" w14:textId="77777777" w:rsidR="00A13BCC" w:rsidRDefault="00000000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 xml:space="preserve">This research is supported by </w:t>
      </w:r>
      <w:proofErr w:type="gramStart"/>
      <w:r>
        <w:rPr>
          <w:szCs w:val="18"/>
        </w:rPr>
        <w:t>EDEM</w:t>
      </w:r>
      <w:proofErr w:type="gramEnd"/>
      <w:r>
        <w:rPr>
          <w:szCs w:val="18"/>
        </w:rPr>
        <w:t xml:space="preserve"> project and EDEM project has received funding from the European Union Horizon 2020 Research and Innovation </w:t>
      </w:r>
      <w:proofErr w:type="spellStart"/>
      <w:r>
        <w:rPr>
          <w:szCs w:val="18"/>
        </w:rPr>
        <w:t>programme</w:t>
      </w:r>
      <w:proofErr w:type="spellEnd"/>
      <w:r>
        <w:rPr>
          <w:szCs w:val="18"/>
        </w:rPr>
        <w:t>. Grant Agreement No 861002. The authors also gratefully acknowledge the Leibniz Supercomputing Centre for funding this research by providing computing time on its Linux-Cluster.</w:t>
      </w:r>
    </w:p>
    <w:sectPr w:rsidR="00A13BCC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FB70" w14:textId="77777777" w:rsidR="00096EF8" w:rsidRDefault="00096EF8">
      <w:pPr>
        <w:spacing w:line="240" w:lineRule="auto"/>
      </w:pPr>
      <w:r>
        <w:separator/>
      </w:r>
    </w:p>
  </w:endnote>
  <w:endnote w:type="continuationSeparator" w:id="0">
    <w:p w14:paraId="2324DDDC" w14:textId="77777777" w:rsidR="00096EF8" w:rsidRDefault="0009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F643" w14:textId="77777777" w:rsidR="00096EF8" w:rsidRDefault="00096EF8">
      <w:pPr>
        <w:spacing w:after="0"/>
      </w:pPr>
      <w:r>
        <w:separator/>
      </w:r>
    </w:p>
  </w:footnote>
  <w:footnote w:type="continuationSeparator" w:id="0">
    <w:p w14:paraId="1316046A" w14:textId="77777777" w:rsidR="00096EF8" w:rsidRDefault="00096E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96EF8"/>
    <w:rsid w:val="000D36F8"/>
    <w:rsid w:val="000F377C"/>
    <w:rsid w:val="00110FAA"/>
    <w:rsid w:val="0014282A"/>
    <w:rsid w:val="00194F1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3B5120"/>
    <w:rsid w:val="00422C37"/>
    <w:rsid w:val="0045422A"/>
    <w:rsid w:val="00540F78"/>
    <w:rsid w:val="005A0829"/>
    <w:rsid w:val="005F0B6B"/>
    <w:rsid w:val="0066351C"/>
    <w:rsid w:val="00682015"/>
    <w:rsid w:val="00685576"/>
    <w:rsid w:val="006A3C18"/>
    <w:rsid w:val="006A6BD8"/>
    <w:rsid w:val="006D2EA7"/>
    <w:rsid w:val="006E3C5E"/>
    <w:rsid w:val="006E4BE1"/>
    <w:rsid w:val="006F2362"/>
    <w:rsid w:val="007102B7"/>
    <w:rsid w:val="0072004F"/>
    <w:rsid w:val="0076654C"/>
    <w:rsid w:val="007B5A87"/>
    <w:rsid w:val="007C7090"/>
    <w:rsid w:val="007E4C43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E0490"/>
    <w:rsid w:val="009E66F9"/>
    <w:rsid w:val="009F0B80"/>
    <w:rsid w:val="00A049FD"/>
    <w:rsid w:val="00A13BCC"/>
    <w:rsid w:val="00A84815"/>
    <w:rsid w:val="00AD74CC"/>
    <w:rsid w:val="00AF770A"/>
    <w:rsid w:val="00B25663"/>
    <w:rsid w:val="00B34C35"/>
    <w:rsid w:val="00B5027D"/>
    <w:rsid w:val="00B74786"/>
    <w:rsid w:val="00B9198F"/>
    <w:rsid w:val="00BC7EAC"/>
    <w:rsid w:val="00BD3ED8"/>
    <w:rsid w:val="00BE696F"/>
    <w:rsid w:val="00BF510F"/>
    <w:rsid w:val="00C00626"/>
    <w:rsid w:val="00C4110A"/>
    <w:rsid w:val="00C85909"/>
    <w:rsid w:val="00C912C9"/>
    <w:rsid w:val="00CB7C5E"/>
    <w:rsid w:val="00CD651B"/>
    <w:rsid w:val="00CF33A7"/>
    <w:rsid w:val="00D37EBD"/>
    <w:rsid w:val="00D57FF0"/>
    <w:rsid w:val="00D70215"/>
    <w:rsid w:val="00D734C7"/>
    <w:rsid w:val="00DE7CB2"/>
    <w:rsid w:val="00E05125"/>
    <w:rsid w:val="00E45A23"/>
    <w:rsid w:val="00E62170"/>
    <w:rsid w:val="00ED30D7"/>
    <w:rsid w:val="00F42BD2"/>
    <w:rsid w:val="00F5141F"/>
    <w:rsid w:val="00FC11DB"/>
    <w:rsid w:val="00FE6708"/>
    <w:rsid w:val="04ED017E"/>
    <w:rsid w:val="121E25B3"/>
    <w:rsid w:val="1C5F3784"/>
    <w:rsid w:val="21405125"/>
    <w:rsid w:val="2D744BB6"/>
    <w:rsid w:val="33652769"/>
    <w:rsid w:val="44471E9C"/>
    <w:rsid w:val="49E76C48"/>
    <w:rsid w:val="5E0750ED"/>
    <w:rsid w:val="627CABCC"/>
    <w:rsid w:val="64F47667"/>
    <w:rsid w:val="70E360B7"/>
    <w:rsid w:val="7A02539C"/>
    <w:rsid w:val="7F6934B6"/>
    <w:rsid w:val="7FC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67C8"/>
  <w15:docId w15:val="{4CDB8523-B3C7-4969-8426-096EB33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color w:val="00000A"/>
      <w:sz w:val="22"/>
      <w:szCs w:val="22"/>
      <w:lang w:val="en-US" w:eastAsia="en-US"/>
    </w:rPr>
  </w:style>
  <w:style w:type="paragraph" w:styleId="Heading1">
    <w:name w:val="heading 1"/>
    <w:basedOn w:val="Heading"/>
    <w:next w:val="Normal"/>
    <w:qFormat/>
    <w:pPr>
      <w:outlineLvl w:val="0"/>
    </w:pPr>
  </w:style>
  <w:style w:type="paragraph" w:styleId="Heading2">
    <w:name w:val="heading 2"/>
    <w:basedOn w:val="Heading"/>
    <w:next w:val="Normal"/>
    <w:qFormat/>
    <w:pPr>
      <w:outlineLvl w:val="1"/>
    </w:pPr>
  </w:style>
  <w:style w:type="paragraph" w:styleId="Heading3">
    <w:name w:val="heading 3"/>
    <w:basedOn w:val="Heading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Heading"/>
    <w:qFormat/>
  </w:style>
  <w:style w:type="paragraph" w:styleId="List">
    <w:name w:val="List"/>
    <w:basedOn w:val="TextBody"/>
    <w:qFormat/>
    <w:rPr>
      <w:rFonts w:cs="FreeSans"/>
    </w:rPr>
  </w:style>
  <w:style w:type="paragraph" w:styleId="NormalWeb">
    <w:name w:val="Normal (Web)"/>
    <w:basedOn w:val="Normal"/>
    <w:uiPriority w:val="99"/>
    <w:unhideWhenUsed/>
    <w:qFormat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Heading"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customStyle="1" w:styleId="citation1">
    <w:name w:val="citation1"/>
    <w:basedOn w:val="Default"/>
    <w:next w:val="Default"/>
    <w:uiPriority w:val="99"/>
    <w:qFormat/>
    <w:rPr>
      <w:color w:val="00000A"/>
    </w:rPr>
  </w:style>
  <w:style w:type="paragraph" w:styleId="NoSpacing">
    <w:name w:val="No Spacing"/>
    <w:qFormat/>
    <w:pPr>
      <w:suppressAutoHyphens/>
    </w:pPr>
    <w:rPr>
      <w:sz w:val="22"/>
      <w:szCs w:val="22"/>
      <w:lang w:val="en-US" w:eastAsia="en-US"/>
    </w:rPr>
  </w:style>
  <w:style w:type="paragraph" w:customStyle="1" w:styleId="Quotations">
    <w:name w:val="Quotations"/>
    <w:basedOn w:val="Normal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F8135-166C-44DF-9B69-FB93AC23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2023-05-07T13:10:00Z</dcterms:created>
  <dcterms:modified xsi:type="dcterms:W3CDTF">2023-05-07T13:10:00Z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  <property fmtid="{D5CDD505-2E9C-101B-9397-08002B2CF9AE}" pid="9" name="KSOProductBuildVer">
    <vt:lpwstr>2052-11.1.0.10938</vt:lpwstr>
  </property>
  <property fmtid="{D5CDD505-2E9C-101B-9397-08002B2CF9AE}" pid="10" name="ICV">
    <vt:lpwstr>F609E2055A1343B4A2E6F87E912A84D5</vt:lpwstr>
  </property>
</Properties>
</file>